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FA" w:rsidRPr="00760DFA" w:rsidRDefault="00760DFA" w:rsidP="00760DFA">
      <w:pPr>
        <w:spacing w:after="0"/>
        <w:jc w:val="center"/>
        <w:rPr>
          <w:rFonts w:ascii="Times New Roman" w:hAnsi="Times New Roman" w:cs="Times New Roman"/>
          <w:sz w:val="24"/>
          <w:szCs w:val="24"/>
        </w:rPr>
      </w:pPr>
      <w:r w:rsidRPr="00760DFA">
        <w:rPr>
          <w:rFonts w:ascii="Times New Roman" w:hAnsi="Times New Roman" w:cs="Times New Roman"/>
          <w:sz w:val="24"/>
          <w:szCs w:val="24"/>
        </w:rPr>
        <w:t>İL GENEL MECLİSİ BAŞKANLIĞINA</w:t>
      </w:r>
    </w:p>
    <w:p w:rsidR="00760DFA" w:rsidRPr="00760DFA" w:rsidRDefault="00760DFA" w:rsidP="00760DFA">
      <w:pPr>
        <w:spacing w:after="0"/>
        <w:jc w:val="center"/>
        <w:rPr>
          <w:rFonts w:ascii="Times New Roman" w:hAnsi="Times New Roman" w:cs="Times New Roman"/>
          <w:sz w:val="24"/>
          <w:szCs w:val="24"/>
        </w:rPr>
      </w:pPr>
      <w:r w:rsidRPr="00760DFA">
        <w:rPr>
          <w:rFonts w:ascii="Times New Roman" w:hAnsi="Times New Roman" w:cs="Times New Roman"/>
          <w:sz w:val="24"/>
          <w:szCs w:val="24"/>
        </w:rPr>
        <w:t>(Eğitim Kültür ve Sosyal Hizmetler Komisyonu Raporu)</w:t>
      </w:r>
    </w:p>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ab/>
      </w:r>
    </w:p>
    <w:p w:rsidR="00760DFA" w:rsidRPr="00760DFA" w:rsidRDefault="00760DFA" w:rsidP="00760DFA">
      <w:pPr>
        <w:spacing w:after="0"/>
        <w:jc w:val="both"/>
        <w:rPr>
          <w:rFonts w:ascii="Times New Roman" w:hAnsi="Times New Roman" w:cs="Times New Roman"/>
          <w:sz w:val="24"/>
          <w:szCs w:val="24"/>
        </w:rPr>
      </w:pPr>
      <w:r w:rsidRPr="00760DFA">
        <w:rPr>
          <w:rFonts w:ascii="Times New Roman" w:hAnsi="Times New Roman" w:cs="Times New Roman"/>
          <w:sz w:val="24"/>
          <w:szCs w:val="24"/>
        </w:rPr>
        <w:t xml:space="preserve">         İl Özel İdaresinin Eğitim Hizmetleri görevi kapsamında verilen önergede 2016-2017 yılı Eğitim Öğretim Döneminde yapılması planlanan ve şuan itibariyle uygulamada olan servis hizmetleri hakkında çalışma yapılması istenmiş, önerge yasa kapsamında Komisyonumuza havale edilmiştir. Komisyonumuz 24-28 Ekim 2016 tarihleri arasında beş gün toplanarak çalışmasını tamamlamıştır.</w:t>
      </w:r>
    </w:p>
    <w:p w:rsidR="00760DFA" w:rsidRPr="00760DFA" w:rsidRDefault="00760DFA" w:rsidP="00760DFA">
      <w:pPr>
        <w:spacing w:after="0"/>
        <w:jc w:val="both"/>
        <w:rPr>
          <w:rFonts w:ascii="Times New Roman" w:hAnsi="Times New Roman" w:cs="Times New Roman"/>
          <w:sz w:val="24"/>
          <w:szCs w:val="24"/>
        </w:rPr>
      </w:pPr>
      <w:r w:rsidRPr="00760DFA">
        <w:rPr>
          <w:rFonts w:ascii="Times New Roman" w:hAnsi="Times New Roman" w:cs="Times New Roman"/>
          <w:sz w:val="24"/>
          <w:szCs w:val="24"/>
        </w:rPr>
        <w:t xml:space="preserve">        İl Milli Eğitim Müdürlüğünün denetiminde her yıl taşımalı eğitim öğretim sistemi kapsamında öğrenciler, planlaması yapılan okullara servis araçlarıyla taşınmakta ve eğitim öğretimin gerçekleştirilmesi sağlanmaktadır.  Komisyon olarak yapılan çalışmada öğrenci velileriyle görüşmeler yapılmış yetkililerden bilgiler alınmıştır. Alınan bilgilerin aşağıdaki gibi olduğu görülmüştür. </w:t>
      </w:r>
    </w:p>
    <w:p w:rsidR="00760DFA" w:rsidRPr="00760DFA" w:rsidRDefault="00760DFA" w:rsidP="00760DFA">
      <w:pPr>
        <w:spacing w:after="0"/>
        <w:rPr>
          <w:rFonts w:ascii="Times New Roman" w:hAnsi="Times New Roman" w:cs="Times New Roman"/>
          <w:sz w:val="24"/>
          <w:szCs w:val="24"/>
        </w:rPr>
      </w:pPr>
    </w:p>
    <w:tbl>
      <w:tblPr>
        <w:tblW w:w="10360" w:type="dxa"/>
        <w:tblInd w:w="58" w:type="dxa"/>
        <w:tblCellMar>
          <w:left w:w="70" w:type="dxa"/>
          <w:right w:w="70" w:type="dxa"/>
        </w:tblCellMar>
        <w:tblLook w:val="04A0" w:firstRow="1" w:lastRow="0" w:firstColumn="1" w:lastColumn="0" w:noHBand="0" w:noVBand="1"/>
      </w:tblPr>
      <w:tblGrid>
        <w:gridCol w:w="146"/>
        <w:gridCol w:w="1720"/>
        <w:gridCol w:w="2060"/>
        <w:gridCol w:w="1780"/>
        <w:gridCol w:w="4654"/>
      </w:tblGrid>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02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 xml:space="preserve">2016-2017 EĞİTİM VE ÖĞRETİM DÖNEMİ TAŞIMALI EĞİTİM </w:t>
            </w:r>
            <w:r w:rsidRPr="00760DFA">
              <w:rPr>
                <w:rFonts w:ascii="Times New Roman" w:hAnsi="Times New Roman" w:cs="Times New Roman"/>
                <w:b/>
                <w:bCs/>
                <w:sz w:val="24"/>
                <w:szCs w:val="24"/>
              </w:rPr>
              <w:br/>
            </w:r>
            <w:r w:rsidRPr="00760DFA">
              <w:rPr>
                <w:rFonts w:ascii="Times New Roman" w:hAnsi="Times New Roman" w:cs="Times New Roman"/>
                <w:b/>
                <w:bCs/>
                <w:sz w:val="24"/>
                <w:szCs w:val="24"/>
                <w:u w:val="single"/>
              </w:rPr>
              <w:t>İLK-ORTAOKUL</w:t>
            </w:r>
            <w:r w:rsidRPr="00760DFA">
              <w:rPr>
                <w:rFonts w:ascii="Times New Roman" w:hAnsi="Times New Roman" w:cs="Times New Roman"/>
                <w:b/>
                <w:bCs/>
                <w:sz w:val="24"/>
                <w:szCs w:val="24"/>
              </w:rPr>
              <w:t xml:space="preserve"> ÖĞRENCİ TAŞIMASI İL BİLGİLERİ</w:t>
            </w:r>
          </w:p>
        </w:tc>
      </w:tr>
      <w:tr w:rsidR="00760DFA" w:rsidRPr="00760DFA" w:rsidTr="00C661D1">
        <w:trPr>
          <w:trHeight w:val="288"/>
        </w:trPr>
        <w:tc>
          <w:tcPr>
            <w:tcW w:w="146" w:type="dxa"/>
            <w:tcBorders>
              <w:top w:val="nil"/>
              <w:left w:val="nil"/>
              <w:bottom w:val="nil"/>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0214" w:type="dxa"/>
            <w:gridSpan w:val="4"/>
            <w:vMerge/>
            <w:tcBorders>
              <w:top w:val="nil"/>
              <w:left w:val="single" w:sz="4" w:space="0" w:color="auto"/>
              <w:bottom w:val="single" w:sz="4" w:space="0" w:color="auto"/>
              <w:right w:val="single" w:sz="4" w:space="0" w:color="auto"/>
            </w:tcBorders>
            <w:vAlign w:val="center"/>
            <w:hideMark/>
          </w:tcPr>
          <w:p w:rsidR="00760DFA" w:rsidRPr="00760DFA" w:rsidRDefault="00760DFA" w:rsidP="00760DFA">
            <w:pPr>
              <w:spacing w:after="0"/>
              <w:rPr>
                <w:rFonts w:ascii="Times New Roman" w:hAnsi="Times New Roman" w:cs="Times New Roman"/>
                <w:b/>
                <w:bCs/>
                <w:sz w:val="24"/>
                <w:szCs w:val="24"/>
              </w:rPr>
            </w:pPr>
          </w:p>
        </w:tc>
      </w:tr>
      <w:tr w:rsidR="00760DFA" w:rsidRPr="00760DFA" w:rsidTr="00C661D1">
        <w:trPr>
          <w:trHeight w:val="40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İl</w:t>
            </w:r>
            <w:r w:rsidRPr="00760DFA">
              <w:rPr>
                <w:rFonts w:ascii="Times New Roman" w:hAnsi="Times New Roman" w:cs="Times New Roman"/>
                <w:b/>
                <w:bCs/>
                <w:sz w:val="24"/>
                <w:szCs w:val="24"/>
              </w:rPr>
              <w:br/>
              <w:t>Adı</w:t>
            </w:r>
          </w:p>
        </w:tc>
        <w:tc>
          <w:tcPr>
            <w:tcW w:w="2060" w:type="dxa"/>
            <w:tcBorders>
              <w:top w:val="single" w:sz="4" w:space="0" w:color="auto"/>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İlçe</w:t>
            </w:r>
            <w:r w:rsidRPr="00760DFA">
              <w:rPr>
                <w:rFonts w:ascii="Times New Roman" w:hAnsi="Times New Roman" w:cs="Times New Roman"/>
                <w:b/>
                <w:bCs/>
                <w:sz w:val="24"/>
                <w:szCs w:val="24"/>
              </w:rPr>
              <w:br/>
              <w:t>Adı</w:t>
            </w:r>
          </w:p>
        </w:tc>
        <w:tc>
          <w:tcPr>
            <w:tcW w:w="1780" w:type="dxa"/>
            <w:tcBorders>
              <w:top w:val="single" w:sz="4" w:space="0" w:color="auto"/>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Araç</w:t>
            </w:r>
            <w:r w:rsidRPr="00760DFA">
              <w:rPr>
                <w:rFonts w:ascii="Times New Roman" w:hAnsi="Times New Roman" w:cs="Times New Roman"/>
                <w:b/>
                <w:bCs/>
                <w:sz w:val="24"/>
                <w:szCs w:val="24"/>
              </w:rPr>
              <w:br/>
              <w:t>Sayısı</w:t>
            </w:r>
          </w:p>
        </w:tc>
        <w:tc>
          <w:tcPr>
            <w:tcW w:w="4654" w:type="dxa"/>
            <w:tcBorders>
              <w:top w:val="single" w:sz="4" w:space="0" w:color="auto"/>
              <w:left w:val="nil"/>
              <w:bottom w:val="single" w:sz="4" w:space="0" w:color="auto"/>
              <w:right w:val="single" w:sz="4" w:space="0" w:color="auto"/>
            </w:tcBorders>
            <w:shd w:val="clear" w:color="auto" w:fill="auto"/>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Toplam Taşınan</w:t>
            </w:r>
            <w:r w:rsidRPr="00760DFA">
              <w:rPr>
                <w:rFonts w:ascii="Times New Roman" w:hAnsi="Times New Roman" w:cs="Times New Roman"/>
                <w:b/>
                <w:bCs/>
                <w:sz w:val="24"/>
                <w:szCs w:val="24"/>
              </w:rPr>
              <w:br/>
              <w:t>Öğrenci Sayısı</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BAHŞİLİ</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4</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69</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BALIŞEYH</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17</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294</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nil"/>
              <w:right w:val="nil"/>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ÇELEBİ</w:t>
            </w:r>
          </w:p>
        </w:tc>
        <w:tc>
          <w:tcPr>
            <w:tcW w:w="178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7</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82</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single" w:sz="4" w:space="0" w:color="auto"/>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DELİCE</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14</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169</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KARAKEÇİLİ</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3</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38</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KESKİN</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23</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300</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MERKEZ</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8</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112</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SULAKYURT</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8</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144</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YAHŞİHAN</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7</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92</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GENEL TOPLAM</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91</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1300</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2060"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80"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4654"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02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 xml:space="preserve">2016-2017 EĞİTİM VE ÖĞRETİM DÖNEMİ TAŞIMALI EĞİTİM </w:t>
            </w:r>
            <w:r w:rsidRPr="00760DFA">
              <w:rPr>
                <w:rFonts w:ascii="Times New Roman" w:hAnsi="Times New Roman" w:cs="Times New Roman"/>
                <w:b/>
                <w:bCs/>
                <w:sz w:val="24"/>
                <w:szCs w:val="24"/>
              </w:rPr>
              <w:br/>
            </w:r>
            <w:r w:rsidRPr="00760DFA">
              <w:rPr>
                <w:rFonts w:ascii="Times New Roman" w:hAnsi="Times New Roman" w:cs="Times New Roman"/>
                <w:b/>
                <w:bCs/>
                <w:sz w:val="24"/>
                <w:szCs w:val="24"/>
                <w:u w:val="single"/>
              </w:rPr>
              <w:t>ORTAÖĞRETİM</w:t>
            </w:r>
            <w:r w:rsidRPr="00760DFA">
              <w:rPr>
                <w:rFonts w:ascii="Times New Roman" w:hAnsi="Times New Roman" w:cs="Times New Roman"/>
                <w:b/>
                <w:bCs/>
                <w:sz w:val="24"/>
                <w:szCs w:val="24"/>
              </w:rPr>
              <w:t xml:space="preserve"> ÖĞRENCİ TAŞIMASI İL BİLGİLERİ</w:t>
            </w:r>
          </w:p>
        </w:tc>
      </w:tr>
      <w:tr w:rsidR="00760DFA" w:rsidRPr="00760DFA" w:rsidTr="00C661D1">
        <w:trPr>
          <w:trHeight w:val="288"/>
        </w:trPr>
        <w:tc>
          <w:tcPr>
            <w:tcW w:w="146" w:type="dxa"/>
            <w:tcBorders>
              <w:top w:val="nil"/>
              <w:left w:val="nil"/>
              <w:bottom w:val="nil"/>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0214" w:type="dxa"/>
            <w:gridSpan w:val="4"/>
            <w:vMerge/>
            <w:tcBorders>
              <w:top w:val="nil"/>
              <w:left w:val="single" w:sz="4" w:space="0" w:color="auto"/>
              <w:bottom w:val="single" w:sz="4" w:space="0" w:color="auto"/>
              <w:right w:val="single" w:sz="4" w:space="0" w:color="auto"/>
            </w:tcBorders>
            <w:vAlign w:val="center"/>
            <w:hideMark/>
          </w:tcPr>
          <w:p w:rsidR="00760DFA" w:rsidRPr="00760DFA" w:rsidRDefault="00760DFA" w:rsidP="00760DFA">
            <w:pPr>
              <w:spacing w:after="0"/>
              <w:rPr>
                <w:rFonts w:ascii="Times New Roman" w:hAnsi="Times New Roman" w:cs="Times New Roman"/>
                <w:b/>
                <w:bCs/>
                <w:sz w:val="24"/>
                <w:szCs w:val="24"/>
              </w:rPr>
            </w:pPr>
          </w:p>
        </w:tc>
      </w:tr>
      <w:tr w:rsidR="00760DFA" w:rsidRPr="00760DFA" w:rsidTr="00C661D1">
        <w:trPr>
          <w:trHeight w:val="40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İl</w:t>
            </w:r>
            <w:r w:rsidRPr="00760DFA">
              <w:rPr>
                <w:rFonts w:ascii="Times New Roman" w:hAnsi="Times New Roman" w:cs="Times New Roman"/>
                <w:b/>
                <w:bCs/>
                <w:sz w:val="24"/>
                <w:szCs w:val="24"/>
              </w:rPr>
              <w:br/>
              <w:t>Adı</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İlçe</w:t>
            </w:r>
            <w:r w:rsidRPr="00760DFA">
              <w:rPr>
                <w:rFonts w:ascii="Times New Roman" w:hAnsi="Times New Roman" w:cs="Times New Roman"/>
                <w:b/>
                <w:bCs/>
                <w:sz w:val="24"/>
                <w:szCs w:val="24"/>
              </w:rPr>
              <w:br/>
              <w:t>Adı</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Araç</w:t>
            </w:r>
            <w:r w:rsidRPr="00760DFA">
              <w:rPr>
                <w:rFonts w:ascii="Times New Roman" w:hAnsi="Times New Roman" w:cs="Times New Roman"/>
                <w:b/>
                <w:bCs/>
                <w:sz w:val="24"/>
                <w:szCs w:val="24"/>
              </w:rPr>
              <w:br/>
              <w:t>Sayısı</w:t>
            </w:r>
          </w:p>
        </w:tc>
        <w:tc>
          <w:tcPr>
            <w:tcW w:w="4654" w:type="dxa"/>
            <w:tcBorders>
              <w:top w:val="nil"/>
              <w:left w:val="nil"/>
              <w:bottom w:val="single" w:sz="4" w:space="0" w:color="auto"/>
              <w:right w:val="single" w:sz="4" w:space="0" w:color="auto"/>
            </w:tcBorders>
            <w:shd w:val="clear" w:color="auto" w:fill="auto"/>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Toplam Taşınan</w:t>
            </w:r>
            <w:r w:rsidRPr="00760DFA">
              <w:rPr>
                <w:rFonts w:ascii="Times New Roman" w:hAnsi="Times New Roman" w:cs="Times New Roman"/>
                <w:b/>
                <w:bCs/>
                <w:sz w:val="24"/>
                <w:szCs w:val="24"/>
              </w:rPr>
              <w:br/>
              <w:t>Öğrenci Sayısı</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BAHŞİLİ</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3</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25</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BALIŞEYH</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11</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111</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ÇELEBİ</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3</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24</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DELİCE</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7</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58</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KARAKEÇİLİ</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13</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KESKİN</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17</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236</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MERKEZ</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8</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89</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SULAKYURT</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6</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104</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YAHŞİHAN</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4</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65</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GENEL TOPLAM</w:t>
            </w:r>
          </w:p>
        </w:tc>
        <w:tc>
          <w:tcPr>
            <w:tcW w:w="1780" w:type="dxa"/>
            <w:tcBorders>
              <w:top w:val="nil"/>
              <w:left w:val="nil"/>
              <w:bottom w:val="single" w:sz="4" w:space="0" w:color="auto"/>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61</w:t>
            </w:r>
          </w:p>
        </w:tc>
        <w:tc>
          <w:tcPr>
            <w:tcW w:w="4654" w:type="dxa"/>
            <w:tcBorders>
              <w:top w:val="nil"/>
              <w:left w:val="nil"/>
              <w:bottom w:val="single" w:sz="4" w:space="0" w:color="auto"/>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725</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3780" w:type="dxa"/>
            <w:gridSpan w:val="2"/>
            <w:tcBorders>
              <w:top w:val="nil"/>
              <w:left w:val="nil"/>
              <w:bottom w:val="nil"/>
              <w:right w:val="nil"/>
            </w:tcBorders>
            <w:shd w:val="clear" w:color="auto" w:fill="auto"/>
            <w:vAlign w:val="bottom"/>
            <w:hideMark/>
          </w:tcPr>
          <w:p w:rsidR="00760DFA" w:rsidRDefault="00760DFA" w:rsidP="00760DFA">
            <w:pPr>
              <w:spacing w:after="0"/>
              <w:rPr>
                <w:rFonts w:ascii="Times New Roman" w:hAnsi="Times New Roman" w:cs="Times New Roman"/>
                <w:sz w:val="24"/>
                <w:szCs w:val="24"/>
              </w:rPr>
            </w:pPr>
          </w:p>
          <w:p w:rsidR="00760DFA" w:rsidRDefault="00760DFA" w:rsidP="00760DFA">
            <w:pPr>
              <w:spacing w:after="0"/>
              <w:rPr>
                <w:rFonts w:ascii="Times New Roman" w:hAnsi="Times New Roman" w:cs="Times New Roman"/>
                <w:sz w:val="24"/>
                <w:szCs w:val="24"/>
              </w:rPr>
            </w:pPr>
          </w:p>
          <w:p w:rsidR="00760DFA" w:rsidRDefault="00760DFA" w:rsidP="00760DFA">
            <w:pPr>
              <w:spacing w:after="0"/>
              <w:rPr>
                <w:rFonts w:ascii="Times New Roman" w:hAnsi="Times New Roman" w:cs="Times New Roman"/>
                <w:sz w:val="24"/>
                <w:szCs w:val="24"/>
              </w:rPr>
            </w:pPr>
          </w:p>
          <w:p w:rsidR="00760DFA" w:rsidRDefault="00760DFA" w:rsidP="00760DFA">
            <w:pPr>
              <w:spacing w:after="0"/>
              <w:rPr>
                <w:rFonts w:ascii="Times New Roman" w:hAnsi="Times New Roman" w:cs="Times New Roman"/>
                <w:sz w:val="24"/>
                <w:szCs w:val="24"/>
              </w:rPr>
            </w:pPr>
          </w:p>
          <w:p w:rsidR="00760DFA" w:rsidRDefault="00760DFA" w:rsidP="00760DFA">
            <w:pPr>
              <w:spacing w:after="0"/>
              <w:rPr>
                <w:rFonts w:ascii="Times New Roman" w:hAnsi="Times New Roman" w:cs="Times New Roman"/>
                <w:sz w:val="24"/>
                <w:szCs w:val="24"/>
              </w:rPr>
            </w:pPr>
          </w:p>
          <w:p w:rsidR="00760DFA" w:rsidRDefault="00760DFA" w:rsidP="00760DFA">
            <w:pPr>
              <w:spacing w:after="0"/>
              <w:rPr>
                <w:rFonts w:ascii="Times New Roman" w:hAnsi="Times New Roman" w:cs="Times New Roman"/>
                <w:sz w:val="24"/>
                <w:szCs w:val="24"/>
              </w:rPr>
            </w:pPr>
          </w:p>
          <w:p w:rsidR="00760DFA" w:rsidRPr="00760DFA" w:rsidRDefault="00760DFA" w:rsidP="00760DFA">
            <w:pPr>
              <w:spacing w:after="0"/>
              <w:rPr>
                <w:rFonts w:ascii="Times New Roman" w:hAnsi="Times New Roman" w:cs="Times New Roman"/>
                <w:sz w:val="24"/>
                <w:szCs w:val="24"/>
              </w:rPr>
            </w:pPr>
          </w:p>
        </w:tc>
        <w:tc>
          <w:tcPr>
            <w:tcW w:w="1780"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4654"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02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 xml:space="preserve">2016-2017 EĞİTİM VE ÖĞRETİM DÖNEMİ TAŞIMALI EĞİTİM </w:t>
            </w:r>
            <w:r w:rsidRPr="00760DFA">
              <w:rPr>
                <w:rFonts w:ascii="Times New Roman" w:hAnsi="Times New Roman" w:cs="Times New Roman"/>
                <w:b/>
                <w:bCs/>
                <w:sz w:val="24"/>
                <w:szCs w:val="24"/>
              </w:rPr>
              <w:br/>
            </w:r>
            <w:r w:rsidRPr="00760DFA">
              <w:rPr>
                <w:rFonts w:ascii="Times New Roman" w:hAnsi="Times New Roman" w:cs="Times New Roman"/>
                <w:b/>
                <w:bCs/>
                <w:sz w:val="24"/>
                <w:szCs w:val="24"/>
                <w:u w:val="single"/>
              </w:rPr>
              <w:t>ÖZEL EĞİTİM</w:t>
            </w:r>
            <w:r w:rsidRPr="00760DFA">
              <w:rPr>
                <w:rFonts w:ascii="Times New Roman" w:hAnsi="Times New Roman" w:cs="Times New Roman"/>
                <w:b/>
                <w:bCs/>
                <w:sz w:val="24"/>
                <w:szCs w:val="24"/>
              </w:rPr>
              <w:t xml:space="preserve"> ÖĞRENCİ TAŞIMASI İL BİLGİLERİ</w:t>
            </w:r>
          </w:p>
        </w:tc>
      </w:tr>
      <w:tr w:rsidR="00760DFA" w:rsidRPr="00760DFA" w:rsidTr="00C661D1">
        <w:trPr>
          <w:trHeight w:val="288"/>
        </w:trPr>
        <w:tc>
          <w:tcPr>
            <w:tcW w:w="146" w:type="dxa"/>
            <w:tcBorders>
              <w:top w:val="nil"/>
              <w:left w:val="nil"/>
              <w:bottom w:val="nil"/>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0214" w:type="dxa"/>
            <w:gridSpan w:val="4"/>
            <w:vMerge/>
            <w:tcBorders>
              <w:top w:val="nil"/>
              <w:left w:val="single" w:sz="4" w:space="0" w:color="auto"/>
              <w:bottom w:val="single" w:sz="4" w:space="0" w:color="auto"/>
              <w:right w:val="single" w:sz="4" w:space="0" w:color="auto"/>
            </w:tcBorders>
            <w:vAlign w:val="center"/>
            <w:hideMark/>
          </w:tcPr>
          <w:p w:rsidR="00760DFA" w:rsidRPr="00760DFA" w:rsidRDefault="00760DFA" w:rsidP="00760DFA">
            <w:pPr>
              <w:spacing w:after="0"/>
              <w:rPr>
                <w:rFonts w:ascii="Times New Roman" w:hAnsi="Times New Roman" w:cs="Times New Roman"/>
                <w:b/>
                <w:bCs/>
                <w:sz w:val="24"/>
                <w:szCs w:val="24"/>
              </w:rPr>
            </w:pPr>
          </w:p>
        </w:tc>
      </w:tr>
      <w:tr w:rsidR="00760DFA" w:rsidRPr="00760DFA" w:rsidTr="00C661D1">
        <w:trPr>
          <w:trHeight w:val="40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İl</w:t>
            </w:r>
            <w:r w:rsidRPr="00760DFA">
              <w:rPr>
                <w:rFonts w:ascii="Times New Roman" w:hAnsi="Times New Roman" w:cs="Times New Roman"/>
                <w:b/>
                <w:bCs/>
                <w:sz w:val="24"/>
                <w:szCs w:val="24"/>
              </w:rPr>
              <w:br/>
              <w:t>Adı</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İlçe</w:t>
            </w:r>
            <w:r w:rsidRPr="00760DFA">
              <w:rPr>
                <w:rFonts w:ascii="Times New Roman" w:hAnsi="Times New Roman" w:cs="Times New Roman"/>
                <w:b/>
                <w:bCs/>
                <w:sz w:val="24"/>
                <w:szCs w:val="24"/>
              </w:rPr>
              <w:br/>
              <w:t>Adı</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Araç</w:t>
            </w:r>
            <w:r w:rsidRPr="00760DFA">
              <w:rPr>
                <w:rFonts w:ascii="Times New Roman" w:hAnsi="Times New Roman" w:cs="Times New Roman"/>
                <w:b/>
                <w:bCs/>
                <w:sz w:val="24"/>
                <w:szCs w:val="24"/>
              </w:rPr>
              <w:br/>
              <w:t>Sayısı</w:t>
            </w:r>
          </w:p>
        </w:tc>
        <w:tc>
          <w:tcPr>
            <w:tcW w:w="4654" w:type="dxa"/>
            <w:tcBorders>
              <w:top w:val="nil"/>
              <w:left w:val="nil"/>
              <w:bottom w:val="single" w:sz="4" w:space="0" w:color="auto"/>
              <w:right w:val="single" w:sz="4" w:space="0" w:color="auto"/>
            </w:tcBorders>
            <w:shd w:val="clear" w:color="auto" w:fill="auto"/>
            <w:hideMark/>
          </w:tcPr>
          <w:p w:rsidR="00760DFA" w:rsidRPr="00760DFA" w:rsidRDefault="00760DFA" w:rsidP="00760DFA">
            <w:pPr>
              <w:spacing w:after="0"/>
              <w:rPr>
                <w:rFonts w:ascii="Times New Roman" w:hAnsi="Times New Roman" w:cs="Times New Roman"/>
                <w:b/>
                <w:bCs/>
                <w:sz w:val="24"/>
                <w:szCs w:val="24"/>
              </w:rPr>
            </w:pPr>
            <w:r w:rsidRPr="00760DFA">
              <w:rPr>
                <w:rFonts w:ascii="Times New Roman" w:hAnsi="Times New Roman" w:cs="Times New Roman"/>
                <w:b/>
                <w:bCs/>
                <w:sz w:val="24"/>
                <w:szCs w:val="24"/>
              </w:rPr>
              <w:t>Toplam Taşınan</w:t>
            </w:r>
            <w:r w:rsidRPr="00760DFA">
              <w:rPr>
                <w:rFonts w:ascii="Times New Roman" w:hAnsi="Times New Roman" w:cs="Times New Roman"/>
                <w:b/>
                <w:bCs/>
                <w:sz w:val="24"/>
                <w:szCs w:val="24"/>
              </w:rPr>
              <w:br/>
              <w:t>Öğrenci Sayısı</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BALIŞEYH</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7</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KESKİN</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3</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13</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MERKEZ</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23</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477</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SULAKYURT</w:t>
            </w:r>
          </w:p>
        </w:tc>
        <w:tc>
          <w:tcPr>
            <w:tcW w:w="1780"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3</w:t>
            </w:r>
          </w:p>
        </w:tc>
        <w:tc>
          <w:tcPr>
            <w:tcW w:w="4654" w:type="dxa"/>
            <w:tcBorders>
              <w:top w:val="nil"/>
              <w:left w:val="nil"/>
              <w:bottom w:val="single" w:sz="4" w:space="0" w:color="auto"/>
              <w:right w:val="single" w:sz="4" w:space="0" w:color="auto"/>
            </w:tcBorders>
            <w:shd w:val="clear" w:color="000000" w:fill="FFFFFF"/>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5</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1720" w:type="dxa"/>
            <w:tcBorders>
              <w:top w:val="nil"/>
              <w:left w:val="single" w:sz="4" w:space="0" w:color="auto"/>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KIRIKKALE</w:t>
            </w:r>
          </w:p>
        </w:tc>
        <w:tc>
          <w:tcPr>
            <w:tcW w:w="206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YAHŞİHAN</w:t>
            </w:r>
          </w:p>
        </w:tc>
        <w:tc>
          <w:tcPr>
            <w:tcW w:w="1780"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1</w:t>
            </w:r>
          </w:p>
        </w:tc>
        <w:tc>
          <w:tcPr>
            <w:tcW w:w="4654" w:type="dxa"/>
            <w:tcBorders>
              <w:top w:val="nil"/>
              <w:left w:val="nil"/>
              <w:bottom w:val="single" w:sz="4" w:space="0" w:color="auto"/>
              <w:right w:val="single" w:sz="4" w:space="0" w:color="auto"/>
            </w:tcBorders>
            <w:shd w:val="clear" w:color="auto" w:fill="auto"/>
            <w:noWrap/>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2</w:t>
            </w:r>
          </w:p>
        </w:tc>
      </w:tr>
      <w:tr w:rsidR="00760DFA" w:rsidRPr="00760DFA" w:rsidTr="00C661D1">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GENEL TOPLAM</w:t>
            </w:r>
          </w:p>
        </w:tc>
        <w:tc>
          <w:tcPr>
            <w:tcW w:w="1780" w:type="dxa"/>
            <w:tcBorders>
              <w:top w:val="nil"/>
              <w:left w:val="nil"/>
              <w:bottom w:val="single" w:sz="4" w:space="0" w:color="auto"/>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32</w:t>
            </w:r>
          </w:p>
        </w:tc>
        <w:tc>
          <w:tcPr>
            <w:tcW w:w="4654" w:type="dxa"/>
            <w:tcBorders>
              <w:top w:val="nil"/>
              <w:left w:val="nil"/>
              <w:bottom w:val="single" w:sz="4" w:space="0" w:color="auto"/>
              <w:right w:val="single" w:sz="4" w:space="0" w:color="auto"/>
            </w:tcBorders>
            <w:shd w:val="clear" w:color="auto" w:fill="auto"/>
            <w:vAlign w:val="bottom"/>
            <w:hideMark/>
          </w:tcPr>
          <w:p w:rsidR="00760DFA" w:rsidRPr="00760DFA" w:rsidRDefault="00760DFA" w:rsidP="00760DFA">
            <w:pPr>
              <w:spacing w:after="0"/>
              <w:rPr>
                <w:rFonts w:ascii="Times New Roman" w:hAnsi="Times New Roman" w:cs="Times New Roman"/>
                <w:sz w:val="24"/>
                <w:szCs w:val="24"/>
              </w:rPr>
            </w:pPr>
            <w:r w:rsidRPr="00760DFA">
              <w:rPr>
                <w:rFonts w:ascii="Times New Roman" w:hAnsi="Times New Roman" w:cs="Times New Roman"/>
                <w:sz w:val="24"/>
                <w:szCs w:val="24"/>
              </w:rPr>
              <w:t>504</w:t>
            </w:r>
          </w:p>
        </w:tc>
      </w:tr>
      <w:tr w:rsidR="00760DFA" w:rsidRPr="00760DFA" w:rsidTr="00760DFA">
        <w:trPr>
          <w:trHeight w:val="288"/>
        </w:trPr>
        <w:tc>
          <w:tcPr>
            <w:tcW w:w="146" w:type="dxa"/>
            <w:tcBorders>
              <w:top w:val="nil"/>
              <w:left w:val="nil"/>
              <w:bottom w:val="nil"/>
              <w:right w:val="nil"/>
            </w:tcBorders>
            <w:shd w:val="clear" w:color="auto" w:fill="auto"/>
            <w:vAlign w:val="bottom"/>
            <w:hideMark/>
          </w:tcPr>
          <w:p w:rsidR="00760DFA" w:rsidRPr="00760DFA" w:rsidRDefault="00760DFA" w:rsidP="00760DFA">
            <w:pPr>
              <w:spacing w:after="0"/>
              <w:jc w:val="both"/>
              <w:rPr>
                <w:rFonts w:ascii="Times New Roman" w:hAnsi="Times New Roman" w:cs="Times New Roman"/>
                <w:sz w:val="24"/>
                <w:szCs w:val="24"/>
              </w:rPr>
            </w:pPr>
          </w:p>
        </w:tc>
        <w:tc>
          <w:tcPr>
            <w:tcW w:w="1720" w:type="dxa"/>
            <w:tcBorders>
              <w:top w:val="nil"/>
              <w:left w:val="nil"/>
              <w:bottom w:val="nil"/>
              <w:right w:val="nil"/>
            </w:tcBorders>
            <w:shd w:val="clear" w:color="auto" w:fill="auto"/>
            <w:vAlign w:val="bottom"/>
          </w:tcPr>
          <w:p w:rsidR="00760DFA" w:rsidRDefault="00760DFA" w:rsidP="00760DFA">
            <w:pPr>
              <w:spacing w:after="0"/>
              <w:jc w:val="both"/>
              <w:rPr>
                <w:rFonts w:ascii="Times New Roman" w:hAnsi="Times New Roman" w:cs="Times New Roman"/>
                <w:sz w:val="24"/>
                <w:szCs w:val="24"/>
              </w:rPr>
            </w:pPr>
          </w:p>
          <w:p w:rsidR="00760DFA" w:rsidRPr="00760DFA" w:rsidRDefault="00760DFA" w:rsidP="00760DFA">
            <w:pPr>
              <w:spacing w:after="0"/>
              <w:jc w:val="both"/>
              <w:rPr>
                <w:rFonts w:ascii="Times New Roman" w:hAnsi="Times New Roman" w:cs="Times New Roman"/>
                <w:sz w:val="24"/>
                <w:szCs w:val="24"/>
              </w:rPr>
            </w:pPr>
            <w:bookmarkStart w:id="0" w:name="_GoBack"/>
            <w:bookmarkEnd w:id="0"/>
          </w:p>
        </w:tc>
        <w:tc>
          <w:tcPr>
            <w:tcW w:w="2060" w:type="dxa"/>
            <w:tcBorders>
              <w:top w:val="nil"/>
              <w:left w:val="nil"/>
              <w:bottom w:val="nil"/>
              <w:right w:val="nil"/>
            </w:tcBorders>
            <w:shd w:val="clear" w:color="auto" w:fill="auto"/>
            <w:vAlign w:val="bottom"/>
          </w:tcPr>
          <w:p w:rsidR="00760DFA" w:rsidRPr="00760DFA" w:rsidRDefault="00760DFA" w:rsidP="00760DFA">
            <w:pPr>
              <w:spacing w:after="0"/>
              <w:jc w:val="both"/>
              <w:rPr>
                <w:rFonts w:ascii="Times New Roman" w:hAnsi="Times New Roman" w:cs="Times New Roman"/>
                <w:sz w:val="24"/>
                <w:szCs w:val="24"/>
              </w:rPr>
            </w:pPr>
          </w:p>
        </w:tc>
        <w:tc>
          <w:tcPr>
            <w:tcW w:w="1780" w:type="dxa"/>
            <w:tcBorders>
              <w:top w:val="nil"/>
              <w:left w:val="nil"/>
              <w:bottom w:val="nil"/>
              <w:right w:val="nil"/>
            </w:tcBorders>
            <w:shd w:val="clear" w:color="auto" w:fill="auto"/>
            <w:vAlign w:val="bottom"/>
          </w:tcPr>
          <w:p w:rsidR="00760DFA" w:rsidRPr="00760DFA" w:rsidRDefault="00760DFA" w:rsidP="00760DFA">
            <w:pPr>
              <w:spacing w:after="0"/>
              <w:jc w:val="both"/>
              <w:rPr>
                <w:rFonts w:ascii="Times New Roman" w:hAnsi="Times New Roman" w:cs="Times New Roman"/>
                <w:sz w:val="24"/>
                <w:szCs w:val="24"/>
              </w:rPr>
            </w:pPr>
          </w:p>
        </w:tc>
        <w:tc>
          <w:tcPr>
            <w:tcW w:w="4654" w:type="dxa"/>
            <w:tcBorders>
              <w:top w:val="nil"/>
              <w:left w:val="nil"/>
              <w:bottom w:val="nil"/>
              <w:right w:val="nil"/>
            </w:tcBorders>
            <w:shd w:val="clear" w:color="auto" w:fill="auto"/>
            <w:vAlign w:val="bottom"/>
          </w:tcPr>
          <w:p w:rsidR="00760DFA" w:rsidRPr="00760DFA" w:rsidRDefault="00760DFA" w:rsidP="00760DFA">
            <w:pPr>
              <w:spacing w:after="0"/>
              <w:jc w:val="both"/>
              <w:rPr>
                <w:rFonts w:ascii="Times New Roman" w:hAnsi="Times New Roman" w:cs="Times New Roman"/>
                <w:sz w:val="24"/>
                <w:szCs w:val="24"/>
              </w:rPr>
            </w:pPr>
          </w:p>
        </w:tc>
      </w:tr>
      <w:tr w:rsidR="00760DFA" w:rsidRPr="00760DFA" w:rsidTr="00C661D1">
        <w:trPr>
          <w:trHeight w:val="517"/>
        </w:trPr>
        <w:tc>
          <w:tcPr>
            <w:tcW w:w="10360" w:type="dxa"/>
            <w:gridSpan w:val="5"/>
            <w:vMerge w:val="restart"/>
            <w:tcBorders>
              <w:top w:val="nil"/>
              <w:left w:val="nil"/>
              <w:bottom w:val="nil"/>
              <w:right w:val="nil"/>
            </w:tcBorders>
            <w:shd w:val="clear" w:color="auto" w:fill="auto"/>
            <w:vAlign w:val="center"/>
            <w:hideMark/>
          </w:tcPr>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“Taşıma Yoluyla Eğitime Erişim Uygulaması“ kapsamında Araç ve şoförlerde </w:t>
            </w:r>
            <w:r w:rsidRPr="00760DFA">
              <w:rPr>
                <w:rFonts w:ascii="Times New Roman" w:hAnsi="Times New Roman" w:cs="Times New Roman"/>
                <w:bCs/>
                <w:sz w:val="24"/>
                <w:szCs w:val="24"/>
              </w:rPr>
              <w:br/>
              <w:t xml:space="preserve">bulunması gereken özellikler “Okul Servis Araçları Hizmet Yönetmeliğine göre” istendiği, sözleşme yapıldıktan sonra taşıma bilgileri İl Milli Eğitim Müdürlüğünce Eğitim Denetmenleri Başkanlığına, İl Emniyet Müdürlüğüne, İl Jandarma Komutanlığına ve Taşıma Merkezi Okul Müdürlüklerine bildirildiği, mevzuat dışına çıkan servisler hakkında yasal işlem yapıldığı, bu güne kadar kayda değer bir sıkıntının oluşmadığı, velilerden gelen </w:t>
            </w:r>
            <w:proofErr w:type="gramStart"/>
            <w:r w:rsidRPr="00760DFA">
              <w:rPr>
                <w:rFonts w:ascii="Times New Roman" w:hAnsi="Times New Roman" w:cs="Times New Roman"/>
                <w:bCs/>
                <w:sz w:val="24"/>
                <w:szCs w:val="24"/>
              </w:rPr>
              <w:t>şikayetlerle</w:t>
            </w:r>
            <w:proofErr w:type="gramEnd"/>
            <w:r w:rsidRPr="00760DFA">
              <w:rPr>
                <w:rFonts w:ascii="Times New Roman" w:hAnsi="Times New Roman" w:cs="Times New Roman"/>
                <w:bCs/>
                <w:sz w:val="24"/>
                <w:szCs w:val="24"/>
              </w:rPr>
              <w:t xml:space="preserve"> ilgili olarak, gerekli araştırmanın yapılarak ilgili servis yetkilisin uyarıldığı bilgisi yetkililer tarafından ifade edilmiştir.</w:t>
            </w: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 </w:t>
            </w: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                       İl Genel meclisinin bilgilerine arz olunur.</w:t>
            </w: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KOMİSYON BAŞKANI                                  BAŞKAN YARDIMCISI                              ÜYE</w:t>
            </w: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Habib ALTINTOP                                           </w:t>
            </w:r>
            <w:proofErr w:type="spellStart"/>
            <w:r w:rsidRPr="00760DFA">
              <w:rPr>
                <w:rFonts w:ascii="Times New Roman" w:hAnsi="Times New Roman" w:cs="Times New Roman"/>
                <w:bCs/>
                <w:sz w:val="24"/>
                <w:szCs w:val="24"/>
              </w:rPr>
              <w:t>H.Ömer</w:t>
            </w:r>
            <w:proofErr w:type="spellEnd"/>
            <w:r w:rsidRPr="00760DFA">
              <w:rPr>
                <w:rFonts w:ascii="Times New Roman" w:hAnsi="Times New Roman" w:cs="Times New Roman"/>
                <w:bCs/>
                <w:sz w:val="24"/>
                <w:szCs w:val="24"/>
              </w:rPr>
              <w:t xml:space="preserve"> ÖRSDEMİR                          Mustafa GÜNDÜZ</w:t>
            </w: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        ÜYE                                                                                                                           </w:t>
            </w:r>
            <w:proofErr w:type="spellStart"/>
            <w:r w:rsidRPr="00760DFA">
              <w:rPr>
                <w:rFonts w:ascii="Times New Roman" w:hAnsi="Times New Roman" w:cs="Times New Roman"/>
                <w:bCs/>
                <w:sz w:val="24"/>
                <w:szCs w:val="24"/>
              </w:rPr>
              <w:t>ÜYE</w:t>
            </w:r>
            <w:proofErr w:type="spellEnd"/>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Murat ÇAYKARA                                                                                                   Dağıstan BİLGİÇ</w:t>
            </w: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                                                                       TASDİK OLUNUR</w:t>
            </w: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                                                                              28.10.2016</w:t>
            </w: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                                                                        Murat ÇAYKARA</w:t>
            </w: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 xml:space="preserve">                                                                  İl Genel Meclisi Başkanı</w:t>
            </w: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p>
          <w:p w:rsidR="00760DFA" w:rsidRPr="00760DFA" w:rsidRDefault="00760DFA" w:rsidP="00760DFA">
            <w:pPr>
              <w:spacing w:after="0"/>
              <w:jc w:val="both"/>
              <w:rPr>
                <w:rFonts w:ascii="Times New Roman" w:hAnsi="Times New Roman" w:cs="Times New Roman"/>
                <w:bCs/>
                <w:sz w:val="24"/>
                <w:szCs w:val="24"/>
              </w:rPr>
            </w:pPr>
            <w:r w:rsidRPr="00760DFA">
              <w:rPr>
                <w:rFonts w:ascii="Times New Roman" w:hAnsi="Times New Roman" w:cs="Times New Roman"/>
                <w:bCs/>
                <w:sz w:val="24"/>
                <w:szCs w:val="24"/>
              </w:rPr>
              <w:t>,</w:t>
            </w:r>
          </w:p>
        </w:tc>
      </w:tr>
    </w:tbl>
    <w:p w:rsidR="002169C4" w:rsidRPr="00760DFA" w:rsidRDefault="002169C4" w:rsidP="00760DFA">
      <w:pPr>
        <w:spacing w:after="0"/>
        <w:rPr>
          <w:rFonts w:ascii="Times New Roman" w:hAnsi="Times New Roman" w:cs="Times New Roman"/>
          <w:sz w:val="24"/>
          <w:szCs w:val="24"/>
        </w:rPr>
      </w:pPr>
    </w:p>
    <w:sectPr w:rsidR="002169C4" w:rsidRPr="00760DFA" w:rsidSect="00760DFA">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FF"/>
    <w:rsid w:val="002169C4"/>
    <w:rsid w:val="00760DFA"/>
    <w:rsid w:val="00EB3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2016-11-16T10:20:00Z</dcterms:created>
  <dcterms:modified xsi:type="dcterms:W3CDTF">2016-11-16T10:24:00Z</dcterms:modified>
</cp:coreProperties>
</file>