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E8" w:rsidRPr="0089313A" w:rsidRDefault="00094BE8" w:rsidP="0009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T.C</w:t>
      </w:r>
    </w:p>
    <w:p w:rsidR="00094BE8" w:rsidRPr="0089313A" w:rsidRDefault="00094BE8" w:rsidP="0009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HAKKARİ</w:t>
      </w:r>
      <w:proofErr w:type="gramEnd"/>
      <w:r w:rsidRPr="0089313A">
        <w:rPr>
          <w:rFonts w:ascii="Times New Roman" w:eastAsia="Times New Roman" w:hAnsi="Times New Roman" w:cs="Times New Roman"/>
          <w:sz w:val="24"/>
          <w:szCs w:val="24"/>
        </w:rPr>
        <w:t xml:space="preserve"> İL ÖZEL İDARESİ</w:t>
      </w:r>
    </w:p>
    <w:p w:rsidR="00094BE8" w:rsidRPr="0089313A" w:rsidRDefault="00094BE8" w:rsidP="0009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 Encümeni Başkanlığı</w:t>
      </w:r>
    </w:p>
    <w:p w:rsidR="00094BE8" w:rsidRPr="0089313A" w:rsidRDefault="00094BE8" w:rsidP="0009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13A">
        <w:rPr>
          <w:rFonts w:ascii="Times New Roman" w:eastAsia="Times New Roman" w:hAnsi="Times New Roman" w:cs="Times New Roman"/>
          <w:sz w:val="24"/>
          <w:szCs w:val="24"/>
        </w:rPr>
        <w:t>İLAN</w:t>
      </w:r>
    </w:p>
    <w:p w:rsidR="00094BE8" w:rsidRPr="00F13D5D" w:rsidRDefault="00094BE8" w:rsidP="00094BE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</w:rPr>
      </w:pPr>
      <w:proofErr w:type="gramStart"/>
      <w:r w:rsidRPr="00F13D5D">
        <w:rPr>
          <w:rFonts w:ascii="Times New Roman" w:eastAsia="Times New Roman" w:hAnsi="Times New Roman" w:cs="Times New Roman"/>
        </w:rPr>
        <w:t>Hakkari</w:t>
      </w:r>
      <w:proofErr w:type="gramEnd"/>
      <w:r w:rsidRPr="00F13D5D">
        <w:rPr>
          <w:rFonts w:ascii="Times New Roman" w:eastAsia="Times New Roman" w:hAnsi="Times New Roman" w:cs="Times New Roman"/>
        </w:rPr>
        <w:t xml:space="preserve"> İl Özel İdaresi makine parkına kayıtlı bulunan aşağıda cinsi, markası, modeli, plakası, muhammen bedeli, geçici teminatı, ihale gün ve saati belirtilen araç ve iş makineleri</w:t>
      </w:r>
      <w:r w:rsidRPr="00F13D5D">
        <w:rPr>
          <w:rFonts w:ascii="Times New Roman" w:hAnsi="Times New Roman" w:cs="Times New Roman"/>
        </w:rPr>
        <w:t xml:space="preserve"> ekonomik ömrünü doldurduklarından kayıttan düşümü yapılarak,</w:t>
      </w:r>
      <w:r w:rsidRPr="00F13D5D">
        <w:rPr>
          <w:rFonts w:ascii="Times New Roman" w:eastAsia="Times New Roman" w:hAnsi="Times New Roman" w:cs="Times New Roman"/>
        </w:rPr>
        <w:t xml:space="preserve"> 2886 Sayılı Devlet İhale Kanunu’nun 45.maddesi uyarınca açık teklif (açık artırma) usulü ile satışı yapılacaktır.</w:t>
      </w:r>
    </w:p>
    <w:p w:rsidR="00094BE8" w:rsidRPr="00F13D5D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 xml:space="preserve">İhale </w:t>
      </w:r>
      <w:proofErr w:type="gramStart"/>
      <w:r w:rsidRPr="00F13D5D">
        <w:rPr>
          <w:rFonts w:ascii="Times New Roman" w:eastAsia="Times New Roman" w:hAnsi="Times New Roman" w:cs="Times New Roman"/>
        </w:rPr>
        <w:t>Hakkari</w:t>
      </w:r>
      <w:proofErr w:type="gramEnd"/>
      <w:r w:rsidRPr="00F13D5D">
        <w:rPr>
          <w:rFonts w:ascii="Times New Roman" w:eastAsia="Times New Roman" w:hAnsi="Times New Roman" w:cs="Times New Roman"/>
        </w:rPr>
        <w:t xml:space="preserve"> İl Özel İdaresi, </w:t>
      </w:r>
      <w:r>
        <w:rPr>
          <w:rFonts w:ascii="Times New Roman" w:eastAsia="Times New Roman" w:hAnsi="Times New Roman" w:cs="Times New Roman"/>
        </w:rPr>
        <w:t xml:space="preserve">İhale </w:t>
      </w:r>
      <w:r w:rsidRPr="00F13D5D">
        <w:rPr>
          <w:rFonts w:ascii="Times New Roman" w:eastAsia="Times New Roman" w:hAnsi="Times New Roman" w:cs="Times New Roman"/>
        </w:rPr>
        <w:t>Salonu’nda İl Encümeni’nce yapılacaktır.</w:t>
      </w:r>
    </w:p>
    <w:p w:rsidR="00094BE8" w:rsidRPr="00F13D5D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 xml:space="preserve">İhale Şartnamesi ve ihale dokümanları </w:t>
      </w:r>
      <w:proofErr w:type="gramStart"/>
      <w:r w:rsidRPr="00F13D5D">
        <w:rPr>
          <w:rFonts w:ascii="Times New Roman" w:eastAsia="Times New Roman" w:hAnsi="Times New Roman" w:cs="Times New Roman"/>
        </w:rPr>
        <w:t>Hakkari</w:t>
      </w:r>
      <w:proofErr w:type="gramEnd"/>
      <w:r w:rsidRPr="00F13D5D">
        <w:rPr>
          <w:rFonts w:ascii="Times New Roman" w:eastAsia="Times New Roman" w:hAnsi="Times New Roman" w:cs="Times New Roman"/>
        </w:rPr>
        <w:t xml:space="preserve"> İl Özel İdaresi – Destek Hizmetleri Müdürlüğü’nde mesai saat</w:t>
      </w:r>
      <w:r>
        <w:rPr>
          <w:rFonts w:ascii="Times New Roman" w:eastAsia="Times New Roman" w:hAnsi="Times New Roman" w:cs="Times New Roman"/>
        </w:rPr>
        <w:t>leri içerisinde görülebilir ve 900</w:t>
      </w:r>
      <w:r w:rsidRPr="00F13D5D">
        <w:rPr>
          <w:rFonts w:ascii="Times New Roman" w:eastAsia="Times New Roman" w:hAnsi="Times New Roman" w:cs="Times New Roman"/>
        </w:rPr>
        <w:t xml:space="preserve"> TL karşılığı satın alınab</w:t>
      </w:r>
      <w:r>
        <w:rPr>
          <w:rFonts w:ascii="Times New Roman" w:eastAsia="Times New Roman" w:hAnsi="Times New Roman" w:cs="Times New Roman"/>
        </w:rPr>
        <w:t xml:space="preserve">ilir. İhaleye katılabilmek </w:t>
      </w:r>
      <w:r w:rsidRPr="00F13D5D">
        <w:rPr>
          <w:rFonts w:ascii="Times New Roman" w:eastAsia="Times New Roman" w:hAnsi="Times New Roman" w:cs="Times New Roman"/>
        </w:rPr>
        <w:t>doküman satın alınması zorunludur.</w:t>
      </w:r>
      <w:r>
        <w:rPr>
          <w:rFonts w:ascii="Times New Roman" w:eastAsia="Times New Roman" w:hAnsi="Times New Roman" w:cs="Times New Roman"/>
        </w:rPr>
        <w:t xml:space="preserve"> Her araç ve iş makinası için 900 TL. </w:t>
      </w:r>
      <w:proofErr w:type="gramStart"/>
      <w:r>
        <w:rPr>
          <w:rFonts w:ascii="Times New Roman" w:eastAsia="Times New Roman" w:hAnsi="Times New Roman" w:cs="Times New Roman"/>
        </w:rPr>
        <w:t>karşılığı</w:t>
      </w:r>
      <w:proofErr w:type="gramEnd"/>
      <w:r>
        <w:rPr>
          <w:rFonts w:ascii="Times New Roman" w:eastAsia="Times New Roman" w:hAnsi="Times New Roman" w:cs="Times New Roman"/>
        </w:rPr>
        <w:t xml:space="preserve"> doküman bedeli satın alınması zorunludur. </w:t>
      </w:r>
    </w:p>
    <w:p w:rsidR="00094BE8" w:rsidRPr="00F13D5D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>İsteklilerin ihaleye katılabilmeleri için evraklarını, aşağıda belirtilen ihale tarih ve saatine kadar İhale Komisyon Başkanlığı’na vermeleri gerekmektedir.</w:t>
      </w:r>
    </w:p>
    <w:p w:rsidR="00094BE8" w:rsidRPr="00F13D5D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>İsteklilerin ihaleye katılabilmeleri için gerekli evraklar şunlardır:</w:t>
      </w:r>
    </w:p>
    <w:p w:rsidR="00094BE8" w:rsidRPr="00F13D5D" w:rsidRDefault="00094BE8" w:rsidP="00094BE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>Gerçek kişiler için;</w:t>
      </w:r>
    </w:p>
    <w:p w:rsidR="00094BE8" w:rsidRPr="00F13D5D" w:rsidRDefault="00094BE8" w:rsidP="00094BE8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 xml:space="preserve">Onaylı </w:t>
      </w:r>
      <w:proofErr w:type="spellStart"/>
      <w:r w:rsidRPr="00F13D5D">
        <w:rPr>
          <w:rFonts w:ascii="Times New Roman" w:eastAsia="Times New Roman" w:hAnsi="Times New Roman" w:cs="Times New Roman"/>
        </w:rPr>
        <w:t>Nufüs</w:t>
      </w:r>
      <w:proofErr w:type="spellEnd"/>
      <w:r w:rsidRPr="00F13D5D">
        <w:rPr>
          <w:rFonts w:ascii="Times New Roman" w:eastAsia="Times New Roman" w:hAnsi="Times New Roman" w:cs="Times New Roman"/>
        </w:rPr>
        <w:t xml:space="preserve"> cüzdan örneği, -İkametgah Belgesi, -Onaylı imza sirküleri, -Bağlı olduğu vergi dairesi İli ve numarasını gösterir belge, -Vekal</w:t>
      </w:r>
      <w:r>
        <w:rPr>
          <w:rFonts w:ascii="Times New Roman" w:eastAsia="Times New Roman" w:hAnsi="Times New Roman" w:cs="Times New Roman"/>
        </w:rPr>
        <w:t>eten ihaleye katılacakların 2024</w:t>
      </w:r>
      <w:r w:rsidRPr="00F13D5D">
        <w:rPr>
          <w:rFonts w:ascii="Times New Roman" w:eastAsia="Times New Roman" w:hAnsi="Times New Roman" w:cs="Times New Roman"/>
        </w:rPr>
        <w:t xml:space="preserve"> yılı içinde tanzim edilmiş noter </w:t>
      </w:r>
      <w:proofErr w:type="gramStart"/>
      <w:r w:rsidRPr="00F13D5D">
        <w:rPr>
          <w:rFonts w:ascii="Times New Roman" w:eastAsia="Times New Roman" w:hAnsi="Times New Roman" w:cs="Times New Roman"/>
        </w:rPr>
        <w:t>tasdikli  vekâletnameleri</w:t>
      </w:r>
      <w:proofErr w:type="gramEnd"/>
      <w:r w:rsidRPr="00F13D5D">
        <w:rPr>
          <w:rFonts w:ascii="Times New Roman" w:eastAsia="Times New Roman" w:hAnsi="Times New Roman" w:cs="Times New Roman"/>
        </w:rPr>
        <w:t>, -Geçici teminata ilişkin banka dekontu, İmzalanmış satış şartnamesi.</w:t>
      </w:r>
    </w:p>
    <w:p w:rsidR="00094BE8" w:rsidRPr="00F13D5D" w:rsidRDefault="00094BE8" w:rsidP="00094BE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>Tüzel Kişiler İçin;</w:t>
      </w:r>
    </w:p>
    <w:p w:rsidR="00094BE8" w:rsidRPr="00F13D5D" w:rsidRDefault="00094BE8" w:rsidP="00094BE8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 xml:space="preserve">-Şirketin kuruluş statüsünü ve son yönetimini gösteren Ticaret Sicil Gazetesi, -Yönetim Onaylı imza </w:t>
      </w:r>
      <w:proofErr w:type="spellStart"/>
      <w:r w:rsidRPr="00F13D5D">
        <w:rPr>
          <w:rFonts w:ascii="Times New Roman" w:eastAsia="Times New Roman" w:hAnsi="Times New Roman" w:cs="Times New Roman"/>
        </w:rPr>
        <w:t>sürkileri</w:t>
      </w:r>
      <w:proofErr w:type="spellEnd"/>
      <w:r w:rsidRPr="00F13D5D">
        <w:rPr>
          <w:rFonts w:ascii="Times New Roman" w:eastAsia="Times New Roman" w:hAnsi="Times New Roman" w:cs="Times New Roman"/>
        </w:rPr>
        <w:t>, - Bağlı olduğu vergi dairesi İli ve numarasını gösterir belge, -Vekal</w:t>
      </w:r>
      <w:r>
        <w:rPr>
          <w:rFonts w:ascii="Times New Roman" w:eastAsia="Times New Roman" w:hAnsi="Times New Roman" w:cs="Times New Roman"/>
        </w:rPr>
        <w:t>eten ihaleye katılacakların 2024</w:t>
      </w:r>
      <w:r w:rsidRPr="00F13D5D">
        <w:rPr>
          <w:rFonts w:ascii="Times New Roman" w:eastAsia="Times New Roman" w:hAnsi="Times New Roman" w:cs="Times New Roman"/>
        </w:rPr>
        <w:t xml:space="preserve"> yılı içinde tanzim edilmiş noter </w:t>
      </w:r>
      <w:proofErr w:type="gramStart"/>
      <w:r w:rsidRPr="00F13D5D">
        <w:rPr>
          <w:rFonts w:ascii="Times New Roman" w:eastAsia="Times New Roman" w:hAnsi="Times New Roman" w:cs="Times New Roman"/>
        </w:rPr>
        <w:t>tasdikli  vekâletname</w:t>
      </w:r>
      <w:r>
        <w:rPr>
          <w:rFonts w:ascii="Times New Roman" w:eastAsia="Times New Roman" w:hAnsi="Times New Roman" w:cs="Times New Roman"/>
        </w:rPr>
        <w:t>leri</w:t>
      </w:r>
      <w:proofErr w:type="gramEnd"/>
      <w:r>
        <w:rPr>
          <w:rFonts w:ascii="Times New Roman" w:eastAsia="Times New Roman" w:hAnsi="Times New Roman" w:cs="Times New Roman"/>
        </w:rPr>
        <w:t xml:space="preserve"> yetkili olarak ihaleye katılacakların yetki belgesi, </w:t>
      </w:r>
      <w:r w:rsidRPr="00F13D5D">
        <w:rPr>
          <w:rFonts w:ascii="Times New Roman" w:eastAsia="Times New Roman" w:hAnsi="Times New Roman" w:cs="Times New Roman"/>
        </w:rPr>
        <w:t xml:space="preserve"> -Geçici teminata ilişkin banka dekontu, İmzalanmış satış şartnamesi. </w:t>
      </w:r>
    </w:p>
    <w:p w:rsidR="00094BE8" w:rsidRPr="00F13D5D" w:rsidRDefault="00094BE8" w:rsidP="00094B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F13D5D">
        <w:rPr>
          <w:rFonts w:ascii="Times New Roman" w:eastAsia="Times New Roman" w:hAnsi="Times New Roman" w:cs="Times New Roman"/>
        </w:rPr>
        <w:t>Not.İhaleye</w:t>
      </w:r>
      <w:proofErr w:type="spellEnd"/>
      <w:proofErr w:type="gramEnd"/>
      <w:r w:rsidRPr="00F13D5D">
        <w:rPr>
          <w:rFonts w:ascii="Times New Roman" w:eastAsia="Times New Roman" w:hAnsi="Times New Roman" w:cs="Times New Roman"/>
        </w:rPr>
        <w:t xml:space="preserve"> katılacak isteklilerin hazırlayacağı evrakların tamamı asıl veya noter tasdikli sureti olacaktır.</w:t>
      </w:r>
    </w:p>
    <w:p w:rsidR="00094BE8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>İhaleye telefon, telgraf ve faksla yapılacak başvurular kabul edilmeyecektir. Posta yoluyla yapılacak başvurularda, postada meydana gelecek gecikmeler dikkate alınmayacaktır.</w:t>
      </w:r>
    </w:p>
    <w:p w:rsidR="00094BE8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3D5D">
        <w:rPr>
          <w:rFonts w:ascii="Times New Roman" w:eastAsia="Times New Roman" w:hAnsi="Times New Roman" w:cs="Times New Roman"/>
        </w:rPr>
        <w:t>İhaleye katılan kişi ve firmalar, ihale şartnamesi ve dosyada bulunan tüm evrakları okumuş ve kabul etmiş sayılacaktır.</w:t>
      </w:r>
    </w:p>
    <w:p w:rsidR="00094BE8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6637">
        <w:rPr>
          <w:rFonts w:ascii="Times New Roman" w:eastAsia="Times New Roman" w:hAnsi="Times New Roman" w:cs="Times New Roman"/>
        </w:rPr>
        <w:t>Bu ihalede en yüksek teklif, uygun teklif kabul edilecektir.</w:t>
      </w:r>
    </w:p>
    <w:p w:rsidR="00094BE8" w:rsidRPr="00076637" w:rsidRDefault="00094BE8" w:rsidP="00094BE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6637">
        <w:rPr>
          <w:rFonts w:ascii="Times New Roman" w:eastAsia="Times New Roman" w:hAnsi="Times New Roman" w:cs="Times New Roman"/>
        </w:rPr>
        <w:t>İhale Komisyonu 2886 Sayılı Kanunun 29. maddesi gereğince, gerekçesini belirtmek suretiyle ihaleyi yapıp yapmamakta serbesttir.</w:t>
      </w:r>
    </w:p>
    <w:tbl>
      <w:tblPr>
        <w:tblpPr w:leftFromText="141" w:rightFromText="141" w:vertAnchor="text" w:horzAnchor="margin" w:tblpY="42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629"/>
        <w:gridCol w:w="993"/>
        <w:gridCol w:w="1417"/>
        <w:gridCol w:w="1134"/>
        <w:gridCol w:w="1559"/>
        <w:gridCol w:w="1701"/>
      </w:tblGrid>
      <w:tr w:rsidR="00094BE8" w:rsidRPr="008D794F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MARKASI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MODELİ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4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PLAKASI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F016CD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016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GEÇİCİ TEMİNATI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MUHAMMEN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İHALE GÜNÜ VE SAATİ</w:t>
            </w:r>
          </w:p>
        </w:tc>
      </w:tr>
    </w:tbl>
    <w:p w:rsidR="00094BE8" w:rsidRDefault="00094BE8" w:rsidP="0009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42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629"/>
        <w:gridCol w:w="993"/>
        <w:gridCol w:w="1417"/>
        <w:gridCol w:w="1134"/>
        <w:gridCol w:w="1559"/>
        <w:gridCol w:w="1701"/>
      </w:tblGrid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Otobüs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Isuzu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AH 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20.05.2024 10.30</w:t>
            </w:r>
          </w:p>
        </w:tc>
      </w:tr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Otobüs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Isuzu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AH 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5.400,00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20.05.2024 11.00</w:t>
            </w:r>
          </w:p>
        </w:tc>
      </w:tr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Otobüs (Tek Katlı)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Mıtsubişhi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AL 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20.05.2024 11.30</w:t>
            </w:r>
          </w:p>
        </w:tc>
      </w:tr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Kazıcı Yükleyici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Komatsu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09-32004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19.500,00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20.05.2024 14.00</w:t>
            </w:r>
          </w:p>
        </w:tc>
      </w:tr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Damperli Kamyon 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Mercedes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AH 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28.500,00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20.05.2024 14.30</w:t>
            </w:r>
          </w:p>
        </w:tc>
      </w:tr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Damperli Kamyon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AH 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28.500,00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20.05.2024 15.00</w:t>
            </w:r>
          </w:p>
        </w:tc>
      </w:tr>
      <w:tr w:rsidR="00094BE8" w:rsidTr="00F75E89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Damperli Kamyon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Mercedes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Pr="005D7B3C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AH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Pr="001F6D16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28.500,00 TL.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950.000,00 TL.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E8" w:rsidRDefault="00094BE8" w:rsidP="00F7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20.05.2024 15:30</w:t>
            </w:r>
          </w:p>
        </w:tc>
      </w:tr>
    </w:tbl>
    <w:p w:rsidR="00094BE8" w:rsidRDefault="00094BE8" w:rsidP="00094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CE2" w:rsidRDefault="002D3CE2">
      <w:bookmarkStart w:id="0" w:name="_GoBack"/>
      <w:bookmarkEnd w:id="0"/>
    </w:p>
    <w:sectPr w:rsidR="002D3CE2" w:rsidSect="00A01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D77F0"/>
    <w:multiLevelType w:val="hybridMultilevel"/>
    <w:tmpl w:val="4FEA3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C10"/>
    <w:multiLevelType w:val="hybridMultilevel"/>
    <w:tmpl w:val="B6BE37CC"/>
    <w:lvl w:ilvl="0" w:tplc="58B4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E8"/>
    <w:rsid w:val="00094BE8"/>
    <w:rsid w:val="002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C71F-057B-4319-B4EF-8A53579C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E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TEMEL</dc:creator>
  <cp:keywords/>
  <dc:description/>
  <cp:lastModifiedBy>ALİ TEMEL</cp:lastModifiedBy>
  <cp:revision>1</cp:revision>
  <dcterms:created xsi:type="dcterms:W3CDTF">2024-04-29T08:40:00Z</dcterms:created>
  <dcterms:modified xsi:type="dcterms:W3CDTF">2024-04-29T08:41:00Z</dcterms:modified>
</cp:coreProperties>
</file>